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«___» ____________20</w:t>
      </w:r>
      <w:r w:rsidR="00331547">
        <w:rPr>
          <w:rFonts w:ascii="Times New Roman" w:hAnsi="Times New Roman"/>
          <w:sz w:val="24"/>
          <w:szCs w:val="24"/>
        </w:rPr>
        <w:t>22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2E00BF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Про орган з питань охорони </w:t>
      </w:r>
    </w:p>
    <w:p w:rsid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2E00BF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культурної спадщини</w:t>
      </w:r>
      <w:r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 на території</w:t>
      </w:r>
    </w:p>
    <w:p w:rsid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Городоцької територіальної громади</w:t>
      </w:r>
    </w:p>
    <w:p w:rsidR="00331547" w:rsidRPr="002E00BF" w:rsidRDefault="002E00BF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Львівської області</w:t>
      </w:r>
      <w:r w:rsidR="00331547" w:rsidRPr="002E00BF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 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331547" w:rsidRPr="000E1365" w:rsidRDefault="002E00BF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Відповідно до законів України «Про місцеве самоврядування в Україні», «Про охорону культурної спадщини», «Про основи містобудування», з метою забезпечення врегулювання правових, організаційних, соціальних та економічних відносин у сфері охорони культурної спадщини, її збереження, використання об’єктів культурної спадщини</w:t>
      </w:r>
      <w:r w:rsid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у суспільному житті,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виконавчий комітет Городоцької міської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рад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и</w:t>
      </w:r>
    </w:p>
    <w:p w:rsidR="00331547" w:rsidRPr="000E1365" w:rsidRDefault="00331547" w:rsidP="00331547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ВИРІШИВ</w:t>
      </w:r>
      <w:r w:rsidRPr="000E136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:</w:t>
      </w:r>
    </w:p>
    <w:p w:rsidR="00331547" w:rsidRDefault="008543C0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Затвердити Положення про Орган з питань охорони культурної спадщини на території Городоцької територіальної громади, згідно з додатком 1.</w:t>
      </w:r>
    </w:p>
    <w:p w:rsidR="008543C0" w:rsidRDefault="008543C0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Затвердити склад Органу з питань культурної спадщини на території Городоцької територіальної громади, згідно з додатком 2.</w:t>
      </w:r>
    </w:p>
    <w:p w:rsidR="008543C0" w:rsidRDefault="008543C0" w:rsidP="0033154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Контроль за виконанням рішення покласти на заступника міського голови     І. Тирпак.</w:t>
      </w:r>
    </w:p>
    <w:p w:rsidR="008543C0" w:rsidRPr="000E1365" w:rsidRDefault="008543C0" w:rsidP="008543C0">
      <w:pPr>
        <w:widowControl w:val="0"/>
        <w:tabs>
          <w:tab w:val="left" w:pos="0"/>
        </w:tabs>
        <w:suppressAutoHyphens/>
        <w:spacing w:after="0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331547" w:rsidRPr="000E1365" w:rsidRDefault="00331547" w:rsidP="00331547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8543C0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43C0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  </w:t>
      </w:r>
      <w:r w:rsidR="008543C0"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 w:rsidRPr="008543C0">
        <w:rPr>
          <w:rFonts w:ascii="Times New Roman" w:hAnsi="Times New Roman"/>
          <w:b/>
          <w:color w:val="000000"/>
          <w:sz w:val="28"/>
          <w:szCs w:val="28"/>
        </w:rPr>
        <w:t>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543C0" w:rsidRDefault="008543C0" w:rsidP="00331547">
      <w:pPr>
        <w:widowControl w:val="0"/>
        <w:suppressAutoHyphens/>
        <w:spacing w:after="0" w:line="240" w:lineRule="auto"/>
        <w:ind w:left="6372" w:firstLine="708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</w:p>
    <w:p w:rsidR="00331547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lastRenderedPageBreak/>
        <w:t>Додаток 1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 рішення виконавчого комітету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міської ради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від_______________</w:t>
      </w:r>
    </w:p>
    <w:p w:rsidR="008543C0" w:rsidRPr="008543C0" w:rsidRDefault="008543C0" w:rsidP="008543C0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№_______________ 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331547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ПОЛОЖЕННЯ</w:t>
      </w:r>
    </w:p>
    <w:p w:rsidR="008543C0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 xml:space="preserve">про Орган з питань охорони культурної спадщини на території </w:t>
      </w:r>
    </w:p>
    <w:p w:rsidR="008543C0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Городоцької територіальної громади Львівської області</w:t>
      </w:r>
    </w:p>
    <w:p w:rsidR="008543C0" w:rsidRDefault="008543C0" w:rsidP="008543C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</w:p>
    <w:p w:rsidR="008543C0" w:rsidRPr="000D2D18" w:rsidRDefault="008543C0" w:rsidP="008543C0">
      <w:pPr>
        <w:pStyle w:val="a5"/>
        <w:widowControl w:val="0"/>
        <w:numPr>
          <w:ilvl w:val="1"/>
          <w:numId w:val="3"/>
        </w:numPr>
        <w:tabs>
          <w:tab w:val="clear" w:pos="1440"/>
        </w:tabs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ЗАГАЛЬНІ ПОЛОЖЕННЯ</w:t>
      </w:r>
    </w:p>
    <w:p w:rsidR="008543C0" w:rsidRDefault="008543C0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з питань охорони культурної спадщини (далі – Орган) є постійно діючим дорадчим органом Городоцької міської ради та створений у межах штатних працівників гуманітарного управління міської ради, юридичного сектору, відділу містобудування та архітектури, сектору житлово-комунального господар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ства та розвитку інфраструктури, відділу земельних відносин.</w:t>
      </w:r>
    </w:p>
    <w:p w:rsidR="008543C0" w:rsidRDefault="008543C0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з питань охорони культурної спадщини є підпорядкованим міському голові, заступнику міського голові відповідно до розподілу повноважень</w:t>
      </w:r>
      <w:r w:rsidR="004D7BF1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, підзвітним, підконтрольним виконавчому комітету та Городоцькій міській раді. Орган є відповідальним за виконання частини повноважень виконавчих органів міської ради, покладених на нього у встановленому порядку.</w:t>
      </w:r>
    </w:p>
    <w:p w:rsidR="004D7BF1" w:rsidRDefault="004D7BF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є спеціально уповноваженим органом охорони культурної спадщини, здійснює управління у сфері охорони культурної спадщини на території Городоцької міської ради у межах компетенції, визначеної законодавством.</w:t>
      </w:r>
    </w:p>
    <w:p w:rsidR="004D7BF1" w:rsidRDefault="004D7BF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у своїй діяльності керується Конституцією України, Законами України «Про місцеве самоврядування в Україні», «Про охорону культурної спадщини», «Про охорону археологічної спадщини», постановами Верховної Ради України, указами і розпорядженнями Президента України, постановами</w:t>
      </w:r>
      <w:r w:rsidR="00CA4C9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і розпорядженнями Кабінету Міністрів України, актами місцевого самоврядування, а також цим Положенням.</w:t>
      </w:r>
    </w:p>
    <w:p w:rsidR="00CA4C95" w:rsidRDefault="00CA4C95" w:rsidP="00CA4C95">
      <w:pPr>
        <w:pStyle w:val="a5"/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CA4C95" w:rsidRPr="000D2D18" w:rsidRDefault="00CA4C95" w:rsidP="00CA4C95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ОСНОВНІ ЗАВДАННЯ</w:t>
      </w:r>
    </w:p>
    <w:p w:rsidR="00CA4C95" w:rsidRDefault="00CA4C95" w:rsidP="00CA4C95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Орган, утворений для забезпечення правових, організаційних, соціальних та економічних відносин у сфері охорони культурної спадщини з метою її збереження, використання об’єктів культурної спадщини у суспільному житті, захисту традиційного характеру середовища.</w:t>
      </w:r>
    </w:p>
    <w:p w:rsidR="00CA4C95" w:rsidRDefault="00CA4C95" w:rsidP="00CA4C95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Основними завданнями Органу є: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2.1.1. Реалізація основних напрямків державної політики у галузі охорони і використання об’єктів культурної спадщини.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2.1.2. Проведення аналізу стану галузі охорони культурної спадщини, організація і опрацювання у встановленому порядку програм охорони культурної спадщини.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2.1.3 Вжиття заходів, які забезпечують наукове вивчення, облік, консервацію, реставрацію, музеєфікацію, ремонт та пристосування об’єктів культурної спадщини.</w:t>
      </w:r>
    </w:p>
    <w:p w:rsidR="00CA4C95" w:rsidRDefault="00CA4C95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lastRenderedPageBreak/>
        <w:t xml:space="preserve">2.1.4. Здійснення на території Городоцької територіальної громади контролю за виконанням Закону України «Про охорону культурної спадщини», інших </w:t>
      </w:r>
      <w:r w:rsidR="00B636F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нормативно-правових актів про охорону культурної спадщини всіма органами, установами, організаціями і підприємствами незалежно від форм власності та відомчого підпорядкування а також посадовими особами та громадянами.</w:t>
      </w:r>
    </w:p>
    <w:p w:rsidR="00B636FA" w:rsidRDefault="00B636FA" w:rsidP="00B636FA">
      <w:pPr>
        <w:pStyle w:val="a5"/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B636FA" w:rsidRPr="000D2D18" w:rsidRDefault="00B636FA" w:rsidP="00B636FA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ПОВНОВАЖЕННЯ</w:t>
      </w:r>
    </w:p>
    <w:p w:rsidR="00B636FA" w:rsidRDefault="00B636FA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має наступні повноваження:</w:t>
      </w:r>
    </w:p>
    <w:p w:rsidR="00B636FA" w:rsidRDefault="00B636F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виконання Закону України «Про охорону культурної спадщини, інших нормативно-правових актів про охорону культурної спадщини на території громади.</w:t>
      </w:r>
    </w:p>
    <w:p w:rsidR="004375AC" w:rsidRDefault="00B636F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Подання пропозицій органу охорони культурної спадщини вищого рівня про занесення об’єктів культурної спадщини до Державного реєстру нерухомих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України</w:t>
      </w:r>
      <w:r w:rsidR="004375AC"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, внесення змін до нього та про занесення відповідної території до Списку історичних населених місць України.</w:t>
      </w:r>
    </w:p>
    <w:p w:rsidR="00B636FA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юридичним та фізичним особам доступу до інформації, що міститься у витягах з Державного реєстру нерухомих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яток </w:t>
      </w:r>
      <w:r w:rsidR="00B636F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України, а також надання інформації щодо програм та проектів будь-яких змін у зонах охорони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та в історичному ареалі міста.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дотримання режиму використання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 місцевого значення, їх територій, зон охорони.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Забезпечення захисту об’єктів культурної спадщини від загрози знищення, руйнування або пошкодження.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Організація розроблення відповідних програм охорони культурної спадщини.</w:t>
      </w:r>
    </w:p>
    <w:p w:rsidR="00E64B96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Надання висновків щодо відповідних програм та проектів містобудівних, архітектурних і ландшафтних перетворень, меліоративних, шляхових, земляних робіт на пам</w:t>
      </w:r>
      <w:r w:rsidRPr="004375AC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ятках місцевого значення, історико-культурних заповідних територіях та в зонах їх охорони, на охоронюваних археологічних територіях, в історичних ареалах населених місць, а також програм та проектів, реалізація яких</w:t>
      </w:r>
      <w:r w:rsid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може позначитися на стані об’єктів культурної спадщини.</w:t>
      </w:r>
    </w:p>
    <w:p w:rsidR="00E64B96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Організація відповідних охоронних заходів щодо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місцевого значення та їх територій у разі виникнення загрози їх пошкодження або руйнування внаслідок дії природних факторів чи проведення будь-яких робіт.</w:t>
      </w:r>
    </w:p>
    <w:p w:rsidR="00E64B96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Видання приписів щодо охорони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 місцевого значення, припинення робіт на цих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ятках, їх територіях та в зонах охорони, якщо ці роботи проводяться за відсутності затверджених або погоджених з відповідним органом охорони культурної спадщин програм та проектів, передбачених Законом України «Про охорону культурної спадщини», дозволів або з відхиленням від них.</w:t>
      </w:r>
    </w:p>
    <w:p w:rsidR="00E64B96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Надання висновків щодо відчуження або передачі пам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E64B96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місцевого значення їх власниками чи уповноваженими ними органами іншим особам у володіння, користування або управління.</w:t>
      </w:r>
    </w:p>
    <w:p w:rsidR="0016390A" w:rsidRDefault="00E64B96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Укладення охоронних договорів на пам</w:t>
      </w:r>
      <w:r w:rsidRPr="00B676A4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ятки </w:t>
      </w:r>
      <w:r w:rsidR="00B676A4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 межах повноважень</w:t>
      </w:r>
      <w:r w:rsid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, делегованих органом охорони культурної спадщини вищого рівня відповідно до закону.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lastRenderedPageBreak/>
        <w:t>Забезпечення в установленому законодавством порядку виготовлення, встановлення та утримання охоронних дошок, охоронних знаків, інших інформаційних написів, позначок на пам</w:t>
      </w:r>
      <w:r w:rsidRPr="0016390A">
        <w:rPr>
          <w:rFonts w:ascii="Times New Roman" w:eastAsia="Andale Sans UI" w:hAnsi="Times New Roman"/>
          <w:bCs/>
          <w:kern w:val="1"/>
          <w:sz w:val="28"/>
          <w:szCs w:val="28"/>
          <w:lang w:val="ru-RU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ятках або в межах їх територій.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Підготовка пропозицій та проектів розпоряджень щодо проведення робіт з консервації, реставрації, реабілітації, музеєфікації, ремонту та пристосування об’єктів культурної спадщини, відповідного використання пам</w:t>
      </w:r>
      <w:r w:rsidRP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</w:t>
      </w:r>
      <w:r w:rsidRP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та подання їх на розгляд відповідному органу виконавчої влади.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Популяризація справи охорони культурної спадщини на відповідній території, організація науково-методичної, експозиційно-виставкової та видавничої діяльності у цій сфері.</w:t>
      </w:r>
    </w:p>
    <w:p w:rsidR="0016390A" w:rsidRDefault="0016390A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Виконання функцій замовника на виявлення, дослідження, консервацію, реставрацію, реабілітацію, музеєфікацію, ремонт, пристосування об’єктів культурної спадщини та інші заходи щодо охорони культурної спадщини.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Підготовка пропозицій до програм соціально-економічного розвитку відповідної території і проектів місцевого бюджету та подання їх на розгляд відповідну органу виконавчої влади.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Інформування органів охорони культурної спадщини вищого рівня про пошкодження, руйнування, загрозу або можливу загрозу пошкодження, руйнування пам</w:t>
      </w:r>
      <w:r w:rsidRPr="00BE43A1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яток, що знаходяться на їх території.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Участь в організації підготовки, перепідготовки та підвищення кваліфікації працівників у сфері охорони культурної спадщини.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Організація досліджень об’єктів культурної спадщини, які потребують рятівних робіт.</w:t>
      </w:r>
    </w:p>
    <w:p w:rsidR="00BE43A1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Застосування санкцій за порушення Закону України «Про охорону культурної спадщини».</w:t>
      </w:r>
    </w:p>
    <w:p w:rsidR="00D65583" w:rsidRDefault="00BE43A1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Здійснення інших повноважень </w:t>
      </w:r>
      <w:r w:rsidR="00D65583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відповідно до закону.</w:t>
      </w:r>
    </w:p>
    <w:p w:rsidR="00D65583" w:rsidRDefault="00D65583" w:rsidP="00D65583">
      <w:pPr>
        <w:pStyle w:val="a5"/>
        <w:widowControl w:val="0"/>
        <w:suppressAutoHyphens/>
        <w:spacing w:after="0" w:line="240" w:lineRule="auto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A041B9" w:rsidRPr="000D2D18" w:rsidRDefault="00A041B9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ПРАВА ТА ОБОВ</w:t>
      </w: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val="en-US" w:eastAsia="ar-SA"/>
        </w:rPr>
        <w:t>’</w:t>
      </w: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ЯЗКИ</w:t>
      </w:r>
    </w:p>
    <w:p w:rsidR="002261CE" w:rsidRDefault="002261CE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Для реалізації завдань та виконання повноважень, передбачених цим  Положенням, іншими нормативними актами, Орган має право: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Залучати (за погодженнями з їх керівниками) спеціалістів інших виконавчих органів міської ради, підприємств, установ і організацій, об</w:t>
      </w:r>
      <w:r w:rsidRPr="002261CE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єднань</w:t>
      </w:r>
      <w:r w:rsidRPr="002261CE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громадян для розгляду </w:t>
      </w:r>
      <w:r w:rsidR="00BE43A1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питань, що належать до його компетенції.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Одержувати в установленому порядку від інших виконавчих органів міської ради, підприємств, установ і організацій інформацію, документи та інші матеріали, необхідні для виконання покладених на нього завдань.</w:t>
      </w:r>
    </w:p>
    <w:p w:rsidR="002261CE" w:rsidRDefault="002261CE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Члени Органу зобов</w:t>
      </w:r>
      <w:r>
        <w:rPr>
          <w:rFonts w:ascii="Times New Roman" w:eastAsia="Andale Sans UI" w:hAnsi="Times New Roman"/>
          <w:bCs/>
          <w:kern w:val="1"/>
          <w:sz w:val="28"/>
          <w:szCs w:val="28"/>
          <w:lang w:val="en-US" w:eastAsia="ar-SA"/>
        </w:rPr>
        <w:t>’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язані: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Дотримуватися принципів наукової сумлінності й об’єктивності у роботі;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Приймати рішення колегіально;</w:t>
      </w:r>
    </w:p>
    <w:p w:rsidR="002261CE" w:rsidRDefault="002261CE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Дотримуватися вимого Закону України «Про охорону культурної спадщини» та інших нормативно-правових актів про охорону культурної спадщини.</w:t>
      </w:r>
    </w:p>
    <w:p w:rsidR="000D2D18" w:rsidRDefault="000D2D18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2261CE" w:rsidRPr="000D2D18" w:rsidRDefault="002261CE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КЕРІВНИЦТВО ТА СТРУКТУРА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 набуває та здійснює права і обов’язки через відділ містобудування та архітектури Городоцької міської ради</w:t>
      </w:r>
      <w:r w:rsidR="0016390A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 w:rsidR="00E64B96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у межах їхньої компетенції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lastRenderedPageBreak/>
        <w:t>встановлених законом.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До складу Органу входять штатні працівники гуманітарного управління, відділу містобудування та архітектури, юридичного сектору, сектору житлово-комунального господарства, інф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раструктури та захисту довкілля, відділу земельних відносин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та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можуть бути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залучені фахівці в галузі охорони культурної спадщини за </w:t>
      </w:r>
      <w:r w:rsidR="00587D5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їх </w:t>
      </w: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згодою.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Гранична чисельність, персональний склад Органу та зміни до нього затверджуються відповідним рішенням виконавчого комітету міської ради.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При Органі можуть бути утворені наглядова (згідно вимогами ЮНЕСКО) та консультативно-методична ради.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Безпосередні обов’язки та повноваження членів Органу, порядок його діяльності визначаються цим Положенням.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Голова Органу:</w:t>
      </w:r>
    </w:p>
    <w:p w:rsidR="00277087" w:rsidRDefault="00277087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Здійснює керівництво діяльністю Органу;</w:t>
      </w:r>
    </w:p>
    <w:p w:rsidR="00277087" w:rsidRDefault="00277087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Організовує діяльність Органу;</w:t>
      </w:r>
    </w:p>
    <w:p w:rsidR="00277087" w:rsidRDefault="00277087" w:rsidP="000D2D18">
      <w:pPr>
        <w:pStyle w:val="a5"/>
        <w:widowControl w:val="0"/>
        <w:numPr>
          <w:ilvl w:val="2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У межах своїх повноважень та на виконання завдань Органу видає накази та інші розпорядчі документи, які є обов’язковими для виконання суб’єктами правовідносин в галузі охорони культурної спадщини, організовує і контролює їх виконання.</w:t>
      </w:r>
    </w:p>
    <w:p w:rsidR="000D2D18" w:rsidRDefault="000D2D18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277087" w:rsidRPr="000D2D18" w:rsidRDefault="00277087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ВІДПОВІДАЛЬНІСТЬ</w:t>
      </w:r>
    </w:p>
    <w:p w:rsidR="004375AC" w:rsidRDefault="004375AC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 xml:space="preserve"> </w:t>
      </w:r>
      <w:r w:rsidR="00277087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Члени органу повинні сумлінно виконувати свої обов’язки,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його інтересам чи негативно вплинути на репутацію міської ради, її виконавчих органів та посадових осіб.</w:t>
      </w:r>
    </w:p>
    <w:p w:rsidR="00277087" w:rsidRDefault="00277087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Члени Органу несуть відповідальність згідно чинним законодавством.</w:t>
      </w:r>
    </w:p>
    <w:p w:rsidR="000D2D18" w:rsidRDefault="000D2D18" w:rsidP="000D2D18">
      <w:pPr>
        <w:pStyle w:val="a5"/>
        <w:widowControl w:val="0"/>
        <w:suppressAutoHyphens/>
        <w:spacing w:after="0" w:line="240" w:lineRule="auto"/>
        <w:ind w:left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FD39B2" w:rsidRPr="000D2D18" w:rsidRDefault="00FD39B2" w:rsidP="000D2D18">
      <w:pPr>
        <w:pStyle w:val="a5"/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ЗАКЛЮЧНІ ПОЛОЖЕННЯ</w:t>
      </w:r>
    </w:p>
    <w:p w:rsidR="00FD39B2" w:rsidRDefault="00FD39B2" w:rsidP="000D2D18">
      <w:pPr>
        <w:pStyle w:val="a5"/>
        <w:widowControl w:val="0"/>
        <w:numPr>
          <w:ilvl w:val="1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Зміни і доповнення даного Положення вносяться у порядку, встановленому для його прийняття. Зміни та доповнення до Положення можуть бути внесені з метою приведення Положення у відповідність з вимогами чинного законодавства.</w:t>
      </w:r>
    </w:p>
    <w:p w:rsidR="00FD39B2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FD39B2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</w:p>
    <w:p w:rsidR="00FD39B2" w:rsidRPr="000D2D18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Керуючий справами</w:t>
      </w:r>
    </w:p>
    <w:p w:rsidR="00FD39B2" w:rsidRPr="000D2D18" w:rsidRDefault="00FD39B2" w:rsidP="00FD39B2">
      <w:pPr>
        <w:pStyle w:val="a5"/>
        <w:widowControl w:val="0"/>
        <w:suppressAutoHyphens/>
        <w:spacing w:after="0" w:line="240" w:lineRule="auto"/>
        <w:ind w:left="450"/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</w:pPr>
      <w:r w:rsidRPr="000D2D18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виконавчого комітету                                               Богдан СТЕПАНЯК</w:t>
      </w:r>
    </w:p>
    <w:p w:rsidR="00331547" w:rsidRPr="000D2D18" w:rsidRDefault="00331547" w:rsidP="00331547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40"/>
          <w:szCs w:val="40"/>
          <w:lang w:eastAsia="ar-SA"/>
        </w:rPr>
      </w:pPr>
    </w:p>
    <w:p w:rsidR="00331547" w:rsidRDefault="00331547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Default="005F0F2C" w:rsidP="000D2D18">
      <w:pPr>
        <w:tabs>
          <w:tab w:val="right" w:pos="9638"/>
        </w:tabs>
        <w:spacing w:before="80" w:line="240" w:lineRule="auto"/>
        <w:rPr>
          <w:rFonts w:ascii="Times New Roman" w:hAnsi="Times New Roman"/>
          <w:sz w:val="28"/>
          <w:szCs w:val="28"/>
        </w:rPr>
      </w:pP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Додаток 1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 рішення виконавчого комітету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міської ради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від_______________</w:t>
      </w:r>
    </w:p>
    <w:p w:rsidR="005F0F2C" w:rsidRPr="008543C0" w:rsidRDefault="005F0F2C" w:rsidP="005F0F2C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8543C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№_______________ </w:t>
      </w:r>
    </w:p>
    <w:p w:rsidR="005F0F2C" w:rsidRPr="000E1365" w:rsidRDefault="005F0F2C" w:rsidP="005F0F2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5F0F2C" w:rsidRDefault="005F0F2C" w:rsidP="005F0F2C">
      <w:pPr>
        <w:tabs>
          <w:tab w:val="right" w:pos="9638"/>
        </w:tabs>
        <w:spacing w:before="8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Органу з питань охорони культурної спадщини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території Городоцької територіальної громади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927"/>
        <w:gridCol w:w="4928"/>
      </w:tblGrid>
      <w:tr w:rsid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КЛОК 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Вероніка Володимирівна</w:t>
            </w:r>
          </w:p>
        </w:tc>
        <w:tc>
          <w:tcPr>
            <w:tcW w:w="4928" w:type="dxa"/>
          </w:tcPr>
          <w:p w:rsidR="005F0F2C" w:rsidRPr="005F0F2C" w:rsidRDefault="005F0F2C" w:rsidP="005F0F2C">
            <w:pPr>
              <w:pStyle w:val="a5"/>
              <w:numPr>
                <w:ilvl w:val="0"/>
                <w:numId w:val="16"/>
              </w:numPr>
              <w:tabs>
                <w:tab w:val="right" w:pos="9638"/>
              </w:tabs>
              <w:ind w:left="31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 Органу, начальник відділу містобудування та архітектури Городоцької міської ради</w:t>
            </w:r>
          </w:p>
        </w:tc>
      </w:tr>
      <w:tr w:rsid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ЯСКЕВИЧ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Ігор Антонович</w:t>
            </w:r>
          </w:p>
        </w:tc>
        <w:tc>
          <w:tcPr>
            <w:tcW w:w="4928" w:type="dxa"/>
          </w:tcPr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заступник голови Органу, керівник гуманітарного управління Городоцької міської ради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ГРЕДІЛЬ 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4928" w:type="dxa"/>
          </w:tcPr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секретар Органу, головний спеціаліст гуманітарного управління Городоцької міської ради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НЕСІМКО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4928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завідувач юридичного сектору Городоцької міської ради</w:t>
            </w:r>
            <w:r w:rsidR="00627E83">
              <w:rPr>
                <w:rFonts w:ascii="Times New Roman" w:hAnsi="Times New Roman"/>
                <w:sz w:val="28"/>
                <w:szCs w:val="28"/>
                <w:lang w:val="ru-RU"/>
              </w:rPr>
              <w:t>, член Органу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СЕРЕВКО 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Леся Миронівна</w:t>
            </w:r>
          </w:p>
        </w:tc>
        <w:tc>
          <w:tcPr>
            <w:tcW w:w="4928" w:type="dxa"/>
          </w:tcPr>
          <w:p w:rsidR="005F0F2C" w:rsidRDefault="005F0F2C" w:rsidP="00587D55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587D55">
              <w:rPr>
                <w:rFonts w:ascii="Times New Roman" w:hAnsi="Times New Roman"/>
                <w:sz w:val="28"/>
                <w:szCs w:val="28"/>
                <w:lang w:val="ru-RU"/>
              </w:rPr>
              <w:t>завідувач сектору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житлово-комунального господарства, інфраструктури та захисту довкілля Городоцької міської ради</w:t>
            </w:r>
            <w:r w:rsidR="00627E83">
              <w:rPr>
                <w:rFonts w:ascii="Times New Roman" w:hAnsi="Times New Roman"/>
                <w:sz w:val="28"/>
                <w:szCs w:val="28"/>
                <w:lang w:val="ru-RU"/>
              </w:rPr>
              <w:t>, член Органу</w:t>
            </w:r>
          </w:p>
        </w:tc>
      </w:tr>
      <w:tr w:rsidR="005F0F2C" w:rsidRPr="005F0F2C" w:rsidTr="005F0F2C">
        <w:tc>
          <w:tcPr>
            <w:tcW w:w="4927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ЖУК</w:t>
            </w:r>
          </w:p>
          <w:p w:rsidR="005F0F2C" w:rsidRP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4928" w:type="dxa"/>
          </w:tcPr>
          <w:p w:rsidR="005F0F2C" w:rsidRDefault="005F0F2C" w:rsidP="005F0F2C">
            <w:pPr>
              <w:tabs>
                <w:tab w:val="right" w:pos="963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начальник відділу земельних відносин Городоцької міської ради</w:t>
            </w:r>
            <w:r w:rsidR="00627E83">
              <w:rPr>
                <w:rFonts w:ascii="Times New Roman" w:hAnsi="Times New Roman"/>
                <w:sz w:val="28"/>
                <w:szCs w:val="28"/>
                <w:lang w:val="ru-RU"/>
              </w:rPr>
              <w:t>, член Органу</w:t>
            </w:r>
          </w:p>
        </w:tc>
      </w:tr>
    </w:tbl>
    <w:p w:rsid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F2C" w:rsidRP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0F2C">
        <w:rPr>
          <w:rFonts w:ascii="Times New Roman" w:hAnsi="Times New Roman"/>
          <w:b/>
          <w:sz w:val="28"/>
          <w:szCs w:val="28"/>
        </w:rPr>
        <w:t xml:space="preserve">Керуючий справами </w:t>
      </w:r>
    </w:p>
    <w:p w:rsidR="005F0F2C" w:rsidRDefault="005F0F2C" w:rsidP="005F0F2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F2C">
        <w:rPr>
          <w:rFonts w:ascii="Times New Roman" w:hAnsi="Times New Roman"/>
          <w:b/>
          <w:sz w:val="28"/>
          <w:szCs w:val="28"/>
        </w:rPr>
        <w:t>виконавчого комітету                                                     Богдан СТЕПАНЯК</w:t>
      </w:r>
    </w:p>
    <w:p w:rsidR="00331547" w:rsidRPr="000566CF" w:rsidRDefault="00331547" w:rsidP="00FD39B2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center"/>
        <w:rPr>
          <w:rFonts w:ascii="Times New Roman" w:hAnsi="Times New Roman"/>
          <w:sz w:val="2"/>
          <w:szCs w:val="2"/>
        </w:rPr>
      </w:pPr>
      <w:bookmarkStart w:id="0" w:name="_heading=h.t8oz2c9j8ses" w:colFirst="0" w:colLast="0"/>
      <w:bookmarkEnd w:id="0"/>
      <w: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</w:t>
      </w:r>
    </w:p>
    <w:sectPr w:rsidR="00331547" w:rsidRPr="000566CF" w:rsidSect="00FD39B2">
      <w:headerReference w:type="default" r:id="rId9"/>
      <w:pgSz w:w="11906" w:h="16838"/>
      <w:pgMar w:top="1135" w:right="850" w:bottom="850" w:left="1417" w:header="284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E68" w:rsidRDefault="000D6E68" w:rsidP="00A177BA">
      <w:pPr>
        <w:spacing w:after="0" w:line="240" w:lineRule="auto"/>
      </w:pPr>
      <w:r>
        <w:separator/>
      </w:r>
    </w:p>
  </w:endnote>
  <w:endnote w:type="continuationSeparator" w:id="1">
    <w:p w:rsidR="000D6E68" w:rsidRDefault="000D6E68" w:rsidP="00A1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E68" w:rsidRDefault="000D6E68" w:rsidP="00A177BA">
      <w:pPr>
        <w:spacing w:after="0" w:line="240" w:lineRule="auto"/>
      </w:pPr>
      <w:r>
        <w:separator/>
      </w:r>
    </w:p>
  </w:footnote>
  <w:footnote w:type="continuationSeparator" w:id="1">
    <w:p w:rsidR="000D6E68" w:rsidRDefault="000D6E68" w:rsidP="00A1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BF" w:rsidRDefault="00852E91" w:rsidP="002E00B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2E00BF">
      <w:rPr>
        <w:color w:val="000000"/>
      </w:rPr>
      <w:instrText>PAGE</w:instrText>
    </w:r>
    <w:r>
      <w:rPr>
        <w:color w:val="000000"/>
      </w:rPr>
      <w:fldChar w:fldCharType="separate"/>
    </w:r>
    <w:r w:rsidR="00587D55">
      <w:rPr>
        <w:noProof/>
        <w:color w:val="000000"/>
      </w:rPr>
      <w:t>6</w:t>
    </w:r>
    <w:r>
      <w:rPr>
        <w:color w:val="00000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9890481"/>
    <w:multiLevelType w:val="multilevel"/>
    <w:tmpl w:val="D598A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573C72FC"/>
    <w:multiLevelType w:val="hybridMultilevel"/>
    <w:tmpl w:val="E9D08C52"/>
    <w:lvl w:ilvl="0" w:tplc="3CCEFA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2"/>
  </w:num>
  <w:num w:numId="13">
    <w:abstractNumId w:val="15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2C2"/>
    <w:rsid w:val="000D2D18"/>
    <w:rsid w:val="000D6E68"/>
    <w:rsid w:val="0016390A"/>
    <w:rsid w:val="002261CE"/>
    <w:rsid w:val="00277087"/>
    <w:rsid w:val="002E00BF"/>
    <w:rsid w:val="00331547"/>
    <w:rsid w:val="004375AC"/>
    <w:rsid w:val="00484091"/>
    <w:rsid w:val="004B64D3"/>
    <w:rsid w:val="004D7BF1"/>
    <w:rsid w:val="00536C38"/>
    <w:rsid w:val="00587D55"/>
    <w:rsid w:val="005F0F2C"/>
    <w:rsid w:val="00627E83"/>
    <w:rsid w:val="00675711"/>
    <w:rsid w:val="00783CB2"/>
    <w:rsid w:val="00821D5D"/>
    <w:rsid w:val="00852E91"/>
    <w:rsid w:val="008543C0"/>
    <w:rsid w:val="00881645"/>
    <w:rsid w:val="00A041B9"/>
    <w:rsid w:val="00A177BA"/>
    <w:rsid w:val="00B636FA"/>
    <w:rsid w:val="00B676A4"/>
    <w:rsid w:val="00B76011"/>
    <w:rsid w:val="00B96C28"/>
    <w:rsid w:val="00BE43A1"/>
    <w:rsid w:val="00BE5244"/>
    <w:rsid w:val="00CA4C95"/>
    <w:rsid w:val="00D102C2"/>
    <w:rsid w:val="00D65583"/>
    <w:rsid w:val="00E64B96"/>
    <w:rsid w:val="00FD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51E43-EDA5-4A23-B39F-71AC0F09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4233</TotalTime>
  <Pages>7</Pages>
  <Words>1698</Words>
  <Characters>9684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6</cp:revision>
  <dcterms:created xsi:type="dcterms:W3CDTF">2022-10-28T10:09:00Z</dcterms:created>
  <dcterms:modified xsi:type="dcterms:W3CDTF">2022-11-03T15:18:00Z</dcterms:modified>
</cp:coreProperties>
</file>